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0" w:lineRule="atLeast"/>
        <w:jc w:val="center"/>
        <w:rPr>
          <w:rFonts w:ascii="宋体" w:hAnsi="宋体" w:cs="宋体"/>
          <w:sz w:val="44"/>
          <w:szCs w:val="44"/>
        </w:rPr>
      </w:pPr>
      <w:r>
        <w:rPr>
          <w:rFonts w:hint="eastAsia" w:ascii="宋体" w:hAnsi="宋体" w:cs="宋体"/>
          <w:sz w:val="44"/>
          <w:szCs w:val="44"/>
        </w:rPr>
        <w:t>郑州市统计局随机抽查事项清单统计表</w:t>
      </w:r>
    </w:p>
    <w:p>
      <w:pPr>
        <w:spacing w:line="560" w:lineRule="exact"/>
        <w:ind w:firstLine="240" w:firstLineChars="100"/>
        <w:rPr>
          <w:rFonts w:ascii="Times New Roman" w:hAnsi="Times New Roman" w:cs="Times New Roman"/>
          <w:sz w:val="24"/>
          <w:szCs w:val="24"/>
        </w:rPr>
      </w:pPr>
      <w:r>
        <w:rPr>
          <w:rFonts w:ascii="Times New Roman" w:hAnsi="Times New Roman" w:cs="Times New Roman"/>
          <w:sz w:val="24"/>
          <w:szCs w:val="24"/>
        </w:rPr>
        <w:t>填报部门：</w:t>
      </w:r>
      <w:r>
        <w:rPr>
          <w:rFonts w:hint="eastAsia" w:ascii="Times New Roman" w:hAnsi="Times New Roman" w:cs="Times New Roman"/>
          <w:sz w:val="24"/>
          <w:szCs w:val="24"/>
        </w:rPr>
        <w:t>郑州市统计局</w:t>
      </w:r>
      <w:r>
        <w:rPr>
          <w:rFonts w:ascii="Times New Roman" w:hAnsi="Times New Roman" w:cs="Times New Roman"/>
          <w:sz w:val="24"/>
          <w:szCs w:val="24"/>
        </w:rPr>
        <w:t>报送时间：</w:t>
      </w:r>
      <w:r>
        <w:rPr>
          <w:rFonts w:hint="eastAsia" w:ascii="Times New Roman" w:hAnsi="Times New Roman" w:cs="Times New Roman"/>
          <w:sz w:val="24"/>
          <w:szCs w:val="24"/>
        </w:rPr>
        <w:t>2017</w:t>
      </w:r>
      <w:r>
        <w:rPr>
          <w:rFonts w:ascii="Times New Roman" w:hAnsi="Times New Roman" w:cs="Times New Roman"/>
          <w:sz w:val="24"/>
          <w:szCs w:val="24"/>
        </w:rPr>
        <w:t>年</w:t>
      </w:r>
      <w:r>
        <w:rPr>
          <w:rFonts w:hint="eastAsia" w:ascii="Times New Roman" w:hAnsi="Times New Roman" w:cs="Times New Roman"/>
          <w:sz w:val="24"/>
          <w:szCs w:val="24"/>
          <w:lang w:val="en-US" w:eastAsia="zh-CN"/>
        </w:rPr>
        <w:t>8</w:t>
      </w:r>
      <w:r>
        <w:rPr>
          <w:rFonts w:ascii="Times New Roman" w:hAnsi="Times New Roman" w:cs="Times New Roman"/>
          <w:sz w:val="24"/>
          <w:szCs w:val="24"/>
        </w:rPr>
        <w:t>月</w:t>
      </w:r>
      <w:r>
        <w:rPr>
          <w:rFonts w:hint="eastAsia" w:ascii="Times New Roman" w:hAnsi="Times New Roman" w:cs="Times New Roman"/>
          <w:sz w:val="24"/>
          <w:szCs w:val="24"/>
          <w:lang w:val="en-US" w:eastAsia="zh-CN"/>
        </w:rPr>
        <w:t>3</w:t>
      </w:r>
      <w:r>
        <w:rPr>
          <w:rFonts w:hint="eastAsia" w:ascii="Times New Roman" w:hAnsi="Times New Roman" w:cs="Times New Roman"/>
          <w:sz w:val="24"/>
          <w:szCs w:val="24"/>
        </w:rPr>
        <w:t>0</w:t>
      </w:r>
      <w:r>
        <w:rPr>
          <w:rFonts w:ascii="Times New Roman" w:hAnsi="Times New Roman" w:cs="Times New Roman"/>
          <w:sz w:val="24"/>
          <w:szCs w:val="24"/>
        </w:rPr>
        <w:t>日</w:t>
      </w:r>
    </w:p>
    <w:tbl>
      <w:tblPr>
        <w:tblStyle w:val="18"/>
        <w:tblW w:w="1271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6"/>
        <w:gridCol w:w="615"/>
        <w:gridCol w:w="3944"/>
        <w:gridCol w:w="709"/>
        <w:gridCol w:w="1100"/>
        <w:gridCol w:w="567"/>
        <w:gridCol w:w="425"/>
        <w:gridCol w:w="567"/>
        <w:gridCol w:w="3827"/>
        <w:gridCol w:w="4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25" w:hRule="atLeast"/>
          <w:jc w:val="center"/>
        </w:trPr>
        <w:tc>
          <w:tcPr>
            <w:tcW w:w="546" w:type="dxa"/>
            <w:vAlign w:val="center"/>
          </w:tcPr>
          <w:p>
            <w:pPr>
              <w:spacing w:line="30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序号</w:t>
            </w:r>
          </w:p>
        </w:tc>
        <w:tc>
          <w:tcPr>
            <w:tcW w:w="615" w:type="dxa"/>
            <w:vAlign w:val="center"/>
          </w:tcPr>
          <w:p>
            <w:pPr>
              <w:spacing w:line="30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抽查事项名称</w:t>
            </w:r>
          </w:p>
        </w:tc>
        <w:tc>
          <w:tcPr>
            <w:tcW w:w="3944" w:type="dxa"/>
            <w:vAlign w:val="center"/>
          </w:tcPr>
          <w:p>
            <w:pPr>
              <w:spacing w:line="30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抽查依据</w:t>
            </w:r>
          </w:p>
        </w:tc>
        <w:tc>
          <w:tcPr>
            <w:tcW w:w="709" w:type="dxa"/>
            <w:vAlign w:val="center"/>
          </w:tcPr>
          <w:p>
            <w:pPr>
              <w:spacing w:line="30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抽查主体</w:t>
            </w:r>
          </w:p>
        </w:tc>
        <w:tc>
          <w:tcPr>
            <w:tcW w:w="1100" w:type="dxa"/>
            <w:vAlign w:val="center"/>
          </w:tcPr>
          <w:p>
            <w:pPr>
              <w:spacing w:line="30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抽查对象</w:t>
            </w:r>
          </w:p>
        </w:tc>
        <w:tc>
          <w:tcPr>
            <w:tcW w:w="567" w:type="dxa"/>
            <w:vAlign w:val="center"/>
          </w:tcPr>
          <w:p>
            <w:pPr>
              <w:spacing w:line="30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抽查比例</w:t>
            </w:r>
          </w:p>
        </w:tc>
        <w:tc>
          <w:tcPr>
            <w:tcW w:w="425" w:type="dxa"/>
            <w:vAlign w:val="center"/>
          </w:tcPr>
          <w:p>
            <w:pPr>
              <w:spacing w:line="30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抽查频次</w:t>
            </w:r>
          </w:p>
        </w:tc>
        <w:tc>
          <w:tcPr>
            <w:tcW w:w="567" w:type="dxa"/>
            <w:vAlign w:val="center"/>
          </w:tcPr>
          <w:p>
            <w:pPr>
              <w:spacing w:line="30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抽查方式</w:t>
            </w:r>
          </w:p>
        </w:tc>
        <w:tc>
          <w:tcPr>
            <w:tcW w:w="3827" w:type="dxa"/>
            <w:vAlign w:val="center"/>
          </w:tcPr>
          <w:p>
            <w:pPr>
              <w:spacing w:line="30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抽查内容</w:t>
            </w:r>
          </w:p>
        </w:tc>
        <w:tc>
          <w:tcPr>
            <w:tcW w:w="419" w:type="dxa"/>
            <w:vAlign w:val="center"/>
          </w:tcPr>
          <w:p>
            <w:pPr>
              <w:spacing w:line="30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9" w:hRule="atLeast"/>
          <w:jc w:val="center"/>
        </w:trPr>
        <w:tc>
          <w:tcPr>
            <w:tcW w:w="546" w:type="dxa"/>
            <w:vAlign w:val="center"/>
          </w:tcPr>
          <w:p>
            <w:pPr>
              <w:spacing w:line="56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1</w:t>
            </w:r>
          </w:p>
        </w:tc>
        <w:tc>
          <w:tcPr>
            <w:tcW w:w="615" w:type="dxa"/>
            <w:vAlign w:val="center"/>
          </w:tcPr>
          <w:p>
            <w:pPr>
              <w:spacing w:line="56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统计数据质量专项检查</w:t>
            </w:r>
          </w:p>
        </w:tc>
        <w:tc>
          <w:tcPr>
            <w:tcW w:w="3944" w:type="dxa"/>
          </w:tcPr>
          <w:p>
            <w:pPr>
              <w:widowControl/>
              <w:numPr>
                <w:ilvl w:val="0"/>
                <w:numId w:val="1"/>
              </w:numPr>
              <w:shd w:val="clear" w:color="auto" w:fill="FFFFFF"/>
              <w:spacing w:line="240" w:lineRule="exact"/>
              <w:jc w:val="left"/>
              <w:rPr>
                <w:rFonts w:hint="eastAsia" w:ascii="仿宋" w:hAnsi="仿宋" w:eastAsia="仿宋" w:cs="仿宋"/>
                <w:sz w:val="18"/>
                <w:szCs w:val="18"/>
              </w:rPr>
            </w:pPr>
            <w:r>
              <w:rPr>
                <w:rFonts w:hint="eastAsia" w:ascii="仿宋" w:hAnsi="仿宋" w:eastAsia="仿宋" w:cs="仿宋"/>
                <w:sz w:val="18"/>
                <w:szCs w:val="18"/>
              </w:rPr>
              <w:t>《中华人民共和国统计法》</w:t>
            </w:r>
            <w:r>
              <w:rPr>
                <w:rStyle w:val="8"/>
                <w:rFonts w:hint="eastAsia" w:ascii="仿宋" w:hAnsi="仿宋" w:eastAsia="仿宋" w:cs="仿宋"/>
                <w:b w:val="0"/>
                <w:color w:val="000000"/>
                <w:sz w:val="18"/>
                <w:szCs w:val="18"/>
              </w:rPr>
              <w:t>第七条</w:t>
            </w:r>
            <w:r>
              <w:rPr>
                <w:rFonts w:hint="eastAsia" w:ascii="仿宋" w:hAnsi="仿宋" w:eastAsia="仿宋" w:cs="仿宋"/>
                <w:color w:val="000000"/>
                <w:sz w:val="18"/>
                <w:szCs w:val="18"/>
              </w:rPr>
              <w:t>　　国家机关、企业事业单位和其他组织以及个体工商户和个人等统计调查对象，必须依照本法和国家有关规定，真实、准确、完整、及时地提供统计调查所需的资料，不得提供不真实或者不完整的统计资料，不得迟报、拒报统计资料。第二十七条县级以上地方人民政府设立独立的统计机构，乡、镇人民政府设置统计工作岗位，配备专职或者兼职统计人员，依法管理、开展统计工作，实施统计调查。第三十三条  县级以上地方人民政府统计机构依法查处本行政区域内发生的统计违法行为。</w:t>
            </w:r>
          </w:p>
          <w:p>
            <w:pPr>
              <w:widowControl/>
              <w:numPr>
                <w:ilvl w:val="0"/>
                <w:numId w:val="1"/>
              </w:numPr>
              <w:shd w:val="clear" w:color="auto" w:fill="FFFFFF"/>
              <w:spacing w:line="240" w:lineRule="exact"/>
              <w:jc w:val="left"/>
              <w:rPr>
                <w:rFonts w:hint="eastAsia" w:ascii="仿宋" w:hAnsi="仿宋" w:eastAsia="仿宋" w:cs="仿宋"/>
                <w:sz w:val="18"/>
                <w:szCs w:val="18"/>
              </w:rPr>
            </w:pPr>
            <w:r>
              <w:rPr>
                <w:rFonts w:hint="eastAsia" w:ascii="仿宋" w:hAnsi="仿宋" w:eastAsia="仿宋" w:cs="仿宋"/>
                <w:sz w:val="18"/>
                <w:szCs w:val="18"/>
              </w:rPr>
              <w:t>《</w:t>
            </w:r>
            <w:r>
              <w:rPr>
                <w:rFonts w:hint="eastAsia" w:ascii="仿宋" w:hAnsi="仿宋" w:eastAsia="仿宋" w:cs="仿宋"/>
                <w:b w:val="0"/>
                <w:bCs/>
                <w:color w:val="000000" w:themeColor="text1"/>
                <w:sz w:val="18"/>
                <w:szCs w:val="18"/>
              </w:rPr>
              <w:t>统计执法监督检查办法》</w:t>
            </w:r>
            <w:r>
              <w:rPr>
                <w:rFonts w:hint="eastAsia" w:ascii="仿宋" w:hAnsi="仿宋" w:eastAsia="仿宋" w:cs="仿宋"/>
                <w:b w:val="0"/>
                <w:bCs/>
                <w:color w:val="333333"/>
                <w:kern w:val="0"/>
                <w:sz w:val="18"/>
                <w:szCs w:val="18"/>
                <w:lang w:val="en-US" w:eastAsia="zh-CN" w:bidi="ar"/>
              </w:rPr>
              <w:t>第十三条</w:t>
            </w:r>
            <w:r>
              <w:rPr>
                <w:rFonts w:hint="eastAsia" w:ascii="仿宋" w:hAnsi="仿宋" w:eastAsia="仿宋" w:cs="仿宋"/>
                <w:color w:val="333333"/>
                <w:kern w:val="0"/>
                <w:sz w:val="18"/>
                <w:szCs w:val="18"/>
                <w:lang w:val="en-US" w:eastAsia="zh-CN" w:bidi="ar"/>
              </w:rPr>
              <w:t>　县级以上人民政府统计机构和有关部门应当建立统计执法监督检查工作机制和相关制度，综合运用“双随机”抽查、专项检查、重点检查、实地核查等方式，组织开展本地区、本部门、本单位统计执法监督检查工作。</w:t>
            </w:r>
          </w:p>
          <w:p>
            <w:pPr>
              <w:widowControl/>
              <w:wordWrap w:val="0"/>
              <w:spacing w:line="240" w:lineRule="exact"/>
              <w:jc w:val="left"/>
              <w:rPr>
                <w:rFonts w:ascii="仿宋" w:hAnsi="仿宋" w:eastAsia="仿宋" w:cs="仿宋"/>
                <w:sz w:val="18"/>
                <w:szCs w:val="18"/>
              </w:rPr>
            </w:pPr>
            <w:r>
              <w:rPr>
                <w:rFonts w:hint="eastAsia" w:ascii="仿宋" w:hAnsi="仿宋" w:eastAsia="仿宋" w:cs="仿宋"/>
                <w:sz w:val="18"/>
                <w:szCs w:val="18"/>
              </w:rPr>
              <w:t>3、《河南省统计管理条例》第八条、第十条、第三十四条、第三十七条等之规定。</w:t>
            </w:r>
          </w:p>
          <w:p>
            <w:pPr>
              <w:widowControl/>
              <w:shd w:val="clear" w:color="auto" w:fill="FFFFFF"/>
              <w:spacing w:line="240" w:lineRule="exact"/>
              <w:jc w:val="left"/>
              <w:rPr>
                <w:rFonts w:ascii="仿宋" w:hAnsi="仿宋" w:eastAsia="仿宋" w:cs="仿宋"/>
                <w:color w:val="333333"/>
                <w:sz w:val="18"/>
                <w:szCs w:val="18"/>
              </w:rPr>
            </w:pPr>
            <w:r>
              <w:rPr>
                <w:rFonts w:hint="eastAsia" w:ascii="仿宋" w:hAnsi="仿宋" w:eastAsia="仿宋" w:cs="仿宋"/>
                <w:color w:val="333333"/>
                <w:sz w:val="18"/>
                <w:szCs w:val="18"/>
              </w:rPr>
              <w:t>4、法律、法规和规章规定的其他事项。</w:t>
            </w:r>
          </w:p>
          <w:p>
            <w:pPr>
              <w:widowControl/>
              <w:wordWrap w:val="0"/>
              <w:spacing w:before="528" w:line="375" w:lineRule="atLeast"/>
              <w:jc w:val="left"/>
              <w:rPr>
                <w:rFonts w:ascii="仿宋" w:hAnsi="仿宋" w:eastAsia="仿宋" w:cs="仿宋"/>
                <w:sz w:val="18"/>
                <w:szCs w:val="18"/>
              </w:rPr>
            </w:pPr>
          </w:p>
        </w:tc>
        <w:tc>
          <w:tcPr>
            <w:tcW w:w="709" w:type="dxa"/>
            <w:vAlign w:val="center"/>
          </w:tcPr>
          <w:p>
            <w:pPr>
              <w:spacing w:line="56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市统计局</w:t>
            </w:r>
          </w:p>
        </w:tc>
        <w:tc>
          <w:tcPr>
            <w:tcW w:w="1100" w:type="dxa"/>
            <w:vAlign w:val="center"/>
          </w:tcPr>
          <w:p>
            <w:pPr>
              <w:widowControl/>
              <w:shd w:val="clear" w:color="auto" w:fill="FFFFFF"/>
              <w:spacing w:line="240" w:lineRule="exact"/>
              <w:jc w:val="left"/>
              <w:rPr>
                <w:rFonts w:hint="eastAsia" w:ascii="仿宋_GB2312" w:hAnsi="仿宋_GB2312" w:eastAsia="仿宋_GB2312" w:cs="仿宋_GB2312"/>
                <w:sz w:val="18"/>
                <w:szCs w:val="18"/>
              </w:rPr>
            </w:pPr>
            <w:r>
              <w:rPr>
                <w:rFonts w:hint="eastAsia" w:ascii="仿宋" w:hAnsi="仿宋" w:eastAsia="仿宋" w:cs="仿宋"/>
                <w:sz w:val="18"/>
                <w:szCs w:val="18"/>
              </w:rPr>
              <w:t>1、有报送统计资料义务的统计调查对象。</w:t>
            </w:r>
          </w:p>
          <w:p>
            <w:pPr>
              <w:widowControl/>
              <w:shd w:val="clear" w:color="auto" w:fill="FFFFFF"/>
              <w:spacing w:line="240" w:lineRule="exact"/>
              <w:jc w:val="left"/>
              <w:rPr>
                <w:rFonts w:hint="eastAsia" w:ascii="仿宋" w:hAnsi="仿宋" w:eastAsia="仿宋" w:cs="仿宋"/>
                <w:sz w:val="18"/>
                <w:szCs w:val="18"/>
              </w:rPr>
            </w:pPr>
            <w:r>
              <w:rPr>
                <w:rFonts w:hint="eastAsia" w:ascii="仿宋" w:hAnsi="仿宋" w:eastAsia="仿宋" w:cs="仿宋"/>
                <w:sz w:val="18"/>
                <w:szCs w:val="18"/>
              </w:rPr>
              <w:t>2、依法组织开展政府统计调查和管理公布统计资料的下级政府统计机构和政府有关部门。</w:t>
            </w:r>
          </w:p>
          <w:p>
            <w:pPr>
              <w:widowControl/>
              <w:shd w:val="clear" w:color="auto" w:fill="FFFFFF"/>
              <w:spacing w:line="240" w:lineRule="exact"/>
              <w:jc w:val="left"/>
              <w:rPr>
                <w:rFonts w:ascii="仿宋_GB2312" w:hAnsi="仿宋_GB2312" w:eastAsia="仿宋_GB2312" w:cs="仿宋_GB2312"/>
                <w:sz w:val="18"/>
                <w:szCs w:val="18"/>
              </w:rPr>
            </w:pPr>
            <w:r>
              <w:rPr>
                <w:rFonts w:hint="eastAsia" w:ascii="仿宋" w:hAnsi="仿宋" w:eastAsia="仿宋" w:cs="仿宋"/>
                <w:sz w:val="18"/>
                <w:szCs w:val="18"/>
              </w:rPr>
              <w:t>3、从事涉外调查的涉外调查机构</w:t>
            </w:r>
          </w:p>
        </w:tc>
        <w:tc>
          <w:tcPr>
            <w:tcW w:w="567" w:type="dxa"/>
            <w:vAlign w:val="center"/>
          </w:tcPr>
          <w:p>
            <w:pPr>
              <w:spacing w:line="560" w:lineRule="exact"/>
              <w:jc w:val="center"/>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lang w:val="en-US" w:eastAsia="zh-CN"/>
              </w:rPr>
              <w:t>1‰-10‰</w:t>
            </w:r>
          </w:p>
        </w:tc>
        <w:tc>
          <w:tcPr>
            <w:tcW w:w="425" w:type="dxa"/>
            <w:vAlign w:val="center"/>
          </w:tcPr>
          <w:p>
            <w:pPr>
              <w:spacing w:line="56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1次/年</w:t>
            </w:r>
          </w:p>
        </w:tc>
        <w:tc>
          <w:tcPr>
            <w:tcW w:w="567" w:type="dxa"/>
            <w:vAlign w:val="center"/>
          </w:tcPr>
          <w:p>
            <w:pPr>
              <w:spacing w:line="56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随机</w:t>
            </w:r>
          </w:p>
        </w:tc>
        <w:tc>
          <w:tcPr>
            <w:tcW w:w="3827" w:type="dxa"/>
            <w:vAlign w:val="center"/>
          </w:tcPr>
          <w:p>
            <w:pPr>
              <w:widowControl/>
              <w:wordWrap w:val="0"/>
              <w:spacing w:line="240" w:lineRule="exact"/>
              <w:jc w:val="left"/>
              <w:rPr>
                <w:rFonts w:ascii="仿宋" w:hAnsi="仿宋" w:eastAsia="仿宋" w:cs="仿宋"/>
                <w:sz w:val="18"/>
                <w:szCs w:val="18"/>
              </w:rPr>
            </w:pPr>
            <w:r>
              <w:rPr>
                <w:rFonts w:hint="eastAsia" w:ascii="宋体" w:hAnsi="宋体" w:cs="宋体"/>
                <w:color w:val="333333"/>
                <w:kern w:val="0"/>
                <w:sz w:val="18"/>
                <w:szCs w:val="18"/>
              </w:rPr>
              <w:t>1、</w:t>
            </w:r>
            <w:r>
              <w:rPr>
                <w:rFonts w:hint="eastAsia" w:ascii="仿宋" w:hAnsi="仿宋" w:eastAsia="仿宋" w:cs="仿宋"/>
                <w:color w:val="333333"/>
                <w:kern w:val="0"/>
                <w:sz w:val="18"/>
                <w:szCs w:val="18"/>
              </w:rPr>
              <w:t>是否存在侵犯统计机构和统计人员独立行使统计调查、统计报告、统计监督职权的行为；</w:t>
            </w:r>
          </w:p>
          <w:p>
            <w:pPr>
              <w:widowControl/>
              <w:wordWrap w:val="0"/>
              <w:spacing w:line="240" w:lineRule="exact"/>
              <w:jc w:val="left"/>
              <w:rPr>
                <w:rFonts w:ascii="仿宋" w:hAnsi="仿宋" w:eastAsia="仿宋" w:cs="仿宋"/>
                <w:sz w:val="18"/>
                <w:szCs w:val="18"/>
              </w:rPr>
            </w:pPr>
            <w:r>
              <w:rPr>
                <w:rFonts w:hint="eastAsia" w:ascii="仿宋" w:hAnsi="仿宋" w:eastAsia="仿宋" w:cs="仿宋"/>
                <w:color w:val="333333"/>
                <w:kern w:val="0"/>
                <w:sz w:val="18"/>
                <w:szCs w:val="18"/>
              </w:rPr>
              <w:t>2、是否存在违反法定程序和统计制度修改统计数据的行为；</w:t>
            </w:r>
          </w:p>
          <w:p>
            <w:pPr>
              <w:widowControl/>
              <w:wordWrap w:val="0"/>
              <w:spacing w:line="240" w:lineRule="exact"/>
              <w:jc w:val="left"/>
              <w:rPr>
                <w:rFonts w:ascii="仿宋" w:hAnsi="仿宋" w:eastAsia="仿宋" w:cs="仿宋"/>
                <w:sz w:val="18"/>
                <w:szCs w:val="18"/>
              </w:rPr>
            </w:pPr>
            <w:r>
              <w:rPr>
                <w:rFonts w:hint="eastAsia" w:ascii="仿宋" w:hAnsi="仿宋" w:eastAsia="仿宋" w:cs="仿宋"/>
                <w:color w:val="333333"/>
                <w:kern w:val="0"/>
                <w:sz w:val="18"/>
                <w:szCs w:val="18"/>
              </w:rPr>
              <w:t>3、是否存在虚报、瞒报、伪造、篡改、拒报和迟报统计资料的行为；</w:t>
            </w:r>
          </w:p>
          <w:p>
            <w:pPr>
              <w:widowControl/>
              <w:wordWrap w:val="0"/>
              <w:spacing w:line="240" w:lineRule="exact"/>
              <w:jc w:val="left"/>
              <w:rPr>
                <w:rFonts w:ascii="仿宋" w:hAnsi="仿宋" w:eastAsia="仿宋" w:cs="仿宋"/>
                <w:sz w:val="18"/>
                <w:szCs w:val="18"/>
              </w:rPr>
            </w:pPr>
            <w:r>
              <w:rPr>
                <w:rFonts w:hint="eastAsia" w:ascii="仿宋" w:hAnsi="仿宋" w:eastAsia="仿宋" w:cs="仿宋"/>
                <w:color w:val="333333"/>
                <w:kern w:val="0"/>
                <w:sz w:val="18"/>
                <w:szCs w:val="18"/>
              </w:rPr>
              <w:t>4、是否依法设立统计机构或配备统计人员；</w:t>
            </w:r>
          </w:p>
          <w:p>
            <w:pPr>
              <w:widowControl/>
              <w:wordWrap w:val="0"/>
              <w:spacing w:line="240" w:lineRule="exact"/>
              <w:jc w:val="left"/>
              <w:rPr>
                <w:rFonts w:ascii="仿宋" w:hAnsi="仿宋" w:eastAsia="仿宋" w:cs="仿宋"/>
                <w:sz w:val="18"/>
                <w:szCs w:val="18"/>
              </w:rPr>
            </w:pPr>
            <w:r>
              <w:rPr>
                <w:rFonts w:hint="eastAsia" w:ascii="仿宋" w:hAnsi="仿宋" w:eastAsia="仿宋" w:cs="仿宋"/>
                <w:color w:val="333333"/>
                <w:kern w:val="0"/>
                <w:sz w:val="18"/>
                <w:szCs w:val="18"/>
              </w:rPr>
              <w:t>5、是否设置原始记录、统计台帐；</w:t>
            </w:r>
          </w:p>
          <w:p>
            <w:pPr>
              <w:widowControl/>
              <w:wordWrap w:val="0"/>
              <w:spacing w:line="240" w:lineRule="exact"/>
              <w:jc w:val="left"/>
              <w:rPr>
                <w:rFonts w:ascii="仿宋" w:hAnsi="仿宋" w:eastAsia="仿宋" w:cs="仿宋"/>
                <w:sz w:val="18"/>
                <w:szCs w:val="18"/>
              </w:rPr>
            </w:pPr>
            <w:r>
              <w:rPr>
                <w:rFonts w:hint="eastAsia" w:ascii="仿宋" w:hAnsi="仿宋" w:eastAsia="仿宋" w:cs="仿宋"/>
                <w:color w:val="333333"/>
                <w:kern w:val="0"/>
                <w:sz w:val="18"/>
                <w:szCs w:val="18"/>
              </w:rPr>
              <w:t>6、统计人员是否具备统计从业资格；</w:t>
            </w:r>
          </w:p>
          <w:p>
            <w:pPr>
              <w:widowControl/>
              <w:wordWrap w:val="0"/>
              <w:spacing w:line="240" w:lineRule="exact"/>
              <w:jc w:val="left"/>
              <w:rPr>
                <w:rFonts w:ascii="仿宋" w:hAnsi="仿宋" w:eastAsia="仿宋" w:cs="仿宋"/>
                <w:sz w:val="18"/>
                <w:szCs w:val="18"/>
              </w:rPr>
            </w:pPr>
            <w:r>
              <w:rPr>
                <w:rFonts w:hint="eastAsia" w:ascii="仿宋" w:hAnsi="仿宋" w:eastAsia="仿宋" w:cs="仿宋"/>
                <w:color w:val="333333"/>
                <w:kern w:val="0"/>
                <w:sz w:val="18"/>
                <w:szCs w:val="18"/>
              </w:rPr>
              <w:t>7、统计调查项目是否依据法定程序报批，是否在统计调查表的右上角标明法定标识；</w:t>
            </w:r>
          </w:p>
          <w:p>
            <w:pPr>
              <w:widowControl/>
              <w:wordWrap w:val="0"/>
              <w:spacing w:line="240" w:lineRule="exact"/>
              <w:jc w:val="left"/>
              <w:rPr>
                <w:rFonts w:ascii="仿宋" w:hAnsi="仿宋" w:eastAsia="仿宋" w:cs="仿宋"/>
                <w:sz w:val="18"/>
                <w:szCs w:val="18"/>
              </w:rPr>
            </w:pPr>
            <w:r>
              <w:rPr>
                <w:rFonts w:hint="eastAsia" w:ascii="仿宋" w:hAnsi="仿宋" w:eastAsia="仿宋" w:cs="仿宋"/>
                <w:color w:val="333333"/>
                <w:kern w:val="0"/>
                <w:sz w:val="18"/>
                <w:szCs w:val="18"/>
              </w:rPr>
              <w:t>8、是否严格按照经批准的统计调查方案进行调查，有无随意改变调查内容、调查对象和调查时间等问题；</w:t>
            </w:r>
          </w:p>
          <w:p>
            <w:pPr>
              <w:widowControl/>
              <w:wordWrap w:val="0"/>
              <w:spacing w:line="240" w:lineRule="exact"/>
              <w:jc w:val="left"/>
              <w:rPr>
                <w:rFonts w:ascii="仿宋" w:hAnsi="仿宋" w:eastAsia="仿宋" w:cs="仿宋"/>
                <w:sz w:val="18"/>
                <w:szCs w:val="18"/>
              </w:rPr>
            </w:pPr>
            <w:r>
              <w:rPr>
                <w:rFonts w:hint="eastAsia" w:ascii="仿宋" w:hAnsi="仿宋" w:eastAsia="仿宋" w:cs="仿宋"/>
                <w:color w:val="333333"/>
                <w:kern w:val="0"/>
                <w:sz w:val="18"/>
                <w:szCs w:val="18"/>
              </w:rPr>
              <w:t>9、统计资料的管理和公布是否符合有关规定，有无泄露国家秘密、统计调查对象的商业秘密和私人、家庭的单项调查资料的行为；</w:t>
            </w:r>
          </w:p>
          <w:p>
            <w:pPr>
              <w:widowControl/>
              <w:wordWrap w:val="0"/>
              <w:spacing w:line="240" w:lineRule="exact"/>
              <w:jc w:val="left"/>
              <w:rPr>
                <w:rFonts w:ascii="仿宋" w:hAnsi="仿宋" w:eastAsia="仿宋" w:cs="仿宋"/>
                <w:sz w:val="18"/>
                <w:szCs w:val="18"/>
              </w:rPr>
            </w:pPr>
            <w:r>
              <w:rPr>
                <w:rFonts w:hint="eastAsia" w:ascii="仿宋" w:hAnsi="仿宋" w:eastAsia="仿宋" w:cs="仿宋"/>
                <w:color w:val="333333"/>
                <w:kern w:val="0"/>
                <w:sz w:val="18"/>
                <w:szCs w:val="18"/>
              </w:rPr>
              <w:t>10、是否依法进行涉外调查；</w:t>
            </w:r>
          </w:p>
          <w:p>
            <w:pPr>
              <w:widowControl/>
              <w:wordWrap w:val="0"/>
              <w:spacing w:line="240" w:lineRule="exact"/>
              <w:jc w:val="left"/>
              <w:rPr>
                <w:rFonts w:ascii="仿宋" w:hAnsi="仿宋" w:eastAsia="仿宋" w:cs="仿宋"/>
                <w:sz w:val="18"/>
                <w:szCs w:val="18"/>
              </w:rPr>
            </w:pPr>
            <w:r>
              <w:rPr>
                <w:rFonts w:hint="eastAsia" w:ascii="仿宋" w:hAnsi="仿宋" w:eastAsia="仿宋" w:cs="仿宋"/>
                <w:color w:val="333333"/>
                <w:kern w:val="0"/>
                <w:sz w:val="18"/>
                <w:szCs w:val="18"/>
              </w:rPr>
              <w:t>11、法律、法规和规章规定的其他事项。</w:t>
            </w:r>
          </w:p>
          <w:p>
            <w:pPr>
              <w:spacing w:line="560" w:lineRule="exact"/>
              <w:rPr>
                <w:rFonts w:ascii="仿宋_GB2312" w:hAnsi="仿宋_GB2312" w:eastAsia="仿宋_GB2312" w:cs="仿宋_GB2312"/>
                <w:color w:val="000000"/>
                <w:sz w:val="18"/>
                <w:szCs w:val="18"/>
              </w:rPr>
            </w:pPr>
          </w:p>
        </w:tc>
        <w:tc>
          <w:tcPr>
            <w:tcW w:w="419" w:type="dxa"/>
            <w:vAlign w:val="center"/>
          </w:tcPr>
          <w:p>
            <w:pPr>
              <w:spacing w:line="560" w:lineRule="exact"/>
              <w:jc w:val="center"/>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35" w:hRule="atLeast"/>
          <w:jc w:val="center"/>
        </w:trPr>
        <w:tc>
          <w:tcPr>
            <w:tcW w:w="546" w:type="dxa"/>
            <w:vAlign w:val="center"/>
          </w:tcPr>
          <w:p>
            <w:pPr>
              <w:spacing w:line="56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2</w:t>
            </w:r>
          </w:p>
        </w:tc>
        <w:tc>
          <w:tcPr>
            <w:tcW w:w="615" w:type="dxa"/>
            <w:vAlign w:val="center"/>
          </w:tcPr>
          <w:p>
            <w:pPr>
              <w:spacing w:line="56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统计数据质量重点检查</w:t>
            </w:r>
          </w:p>
        </w:tc>
        <w:tc>
          <w:tcPr>
            <w:tcW w:w="3944" w:type="dxa"/>
          </w:tcPr>
          <w:p>
            <w:pPr>
              <w:widowControl/>
              <w:shd w:val="clear" w:color="auto" w:fill="FFFFFF"/>
              <w:spacing w:line="240" w:lineRule="exact"/>
              <w:jc w:val="left"/>
              <w:rPr>
                <w:rFonts w:ascii="仿宋" w:hAnsi="仿宋" w:eastAsia="仿宋" w:cs="仿宋"/>
                <w:sz w:val="18"/>
                <w:szCs w:val="18"/>
              </w:rPr>
            </w:pPr>
            <w:r>
              <w:rPr>
                <w:rFonts w:hint="eastAsia" w:ascii="仿宋" w:hAnsi="仿宋" w:eastAsia="仿宋" w:cs="仿宋"/>
                <w:sz w:val="18"/>
                <w:szCs w:val="18"/>
              </w:rPr>
              <w:t>1、《中华人民共和国统计法》</w:t>
            </w:r>
            <w:r>
              <w:rPr>
                <w:rStyle w:val="8"/>
                <w:rFonts w:hint="eastAsia" w:ascii="仿宋" w:hAnsi="仿宋" w:eastAsia="仿宋" w:cs="仿宋"/>
                <w:b w:val="0"/>
                <w:color w:val="000000"/>
                <w:sz w:val="18"/>
                <w:szCs w:val="18"/>
              </w:rPr>
              <w:t>第七条</w:t>
            </w:r>
            <w:r>
              <w:rPr>
                <w:rFonts w:hint="eastAsia" w:ascii="仿宋" w:hAnsi="仿宋" w:eastAsia="仿宋" w:cs="仿宋"/>
                <w:color w:val="000000"/>
                <w:sz w:val="18"/>
                <w:szCs w:val="18"/>
              </w:rPr>
              <w:t>　　国家机关、企业事业单位和其他组织以及个体工商户和个人等统计调查对象，必须依照本法和国家有关规定，真实、准确、完整、及时地提供统计调查所需的资料，不得提供不真实或者不完整的统计资料，不得迟报、拒报统计资料。第二十七条县级以上地方人民政府设立独立的统计机构，乡、镇人民政府设置统计工作岗位，配备专职或者兼职统计人员，依法管理、开展统计工作，实施统计调查。</w:t>
            </w:r>
          </w:p>
          <w:p>
            <w:pPr>
              <w:widowControl/>
              <w:numPr>
                <w:ilvl w:val="0"/>
                <w:numId w:val="0"/>
              </w:numPr>
              <w:shd w:val="clear" w:color="auto" w:fill="FFFFFF"/>
              <w:spacing w:line="240" w:lineRule="exact"/>
              <w:jc w:val="left"/>
              <w:rPr>
                <w:rFonts w:hint="eastAsia" w:ascii="仿宋" w:hAnsi="仿宋" w:eastAsia="仿宋" w:cs="仿宋"/>
                <w:sz w:val="18"/>
                <w:szCs w:val="18"/>
              </w:rPr>
            </w:pPr>
            <w:r>
              <w:rPr>
                <w:rFonts w:hint="eastAsia" w:ascii="仿宋" w:hAnsi="仿宋" w:eastAsia="仿宋" w:cs="仿宋"/>
                <w:color w:val="333333"/>
                <w:kern w:val="0"/>
                <w:sz w:val="18"/>
                <w:szCs w:val="18"/>
                <w:shd w:val="clear" w:color="auto" w:fill="FFFFFF"/>
              </w:rPr>
              <w:t>2、</w:t>
            </w:r>
            <w:r>
              <w:rPr>
                <w:rFonts w:hint="eastAsia" w:ascii="仿宋" w:hAnsi="仿宋" w:eastAsia="仿宋" w:cs="仿宋"/>
                <w:sz w:val="18"/>
                <w:szCs w:val="18"/>
              </w:rPr>
              <w:t>《</w:t>
            </w:r>
            <w:r>
              <w:rPr>
                <w:rFonts w:hint="eastAsia" w:ascii="仿宋" w:hAnsi="仿宋" w:eastAsia="仿宋" w:cs="仿宋"/>
                <w:b w:val="0"/>
                <w:bCs/>
                <w:color w:val="000000" w:themeColor="text1"/>
                <w:sz w:val="18"/>
                <w:szCs w:val="18"/>
              </w:rPr>
              <w:t>统计执法监督检查办法》</w:t>
            </w:r>
            <w:r>
              <w:rPr>
                <w:rFonts w:hint="eastAsia" w:ascii="仿宋" w:hAnsi="仿宋" w:eastAsia="仿宋" w:cs="仿宋"/>
                <w:b w:val="0"/>
                <w:bCs/>
                <w:color w:val="333333"/>
                <w:kern w:val="0"/>
                <w:sz w:val="18"/>
                <w:szCs w:val="18"/>
                <w:lang w:val="en-US" w:eastAsia="zh-CN" w:bidi="ar"/>
              </w:rPr>
              <w:t>第十三条</w:t>
            </w:r>
            <w:r>
              <w:rPr>
                <w:rFonts w:hint="eastAsia" w:ascii="仿宋" w:hAnsi="仿宋" w:eastAsia="仿宋" w:cs="仿宋"/>
                <w:color w:val="333333"/>
                <w:kern w:val="0"/>
                <w:sz w:val="18"/>
                <w:szCs w:val="18"/>
                <w:lang w:val="en-US" w:eastAsia="zh-CN" w:bidi="ar"/>
              </w:rPr>
              <w:t>　县级以上人民政府统计机构和有关部门应当建立统计执法监督检查工作机制和相关制度，综合运用“双随机”抽查、专项检查、重点检查、实地核查等方式，组织开展本地区、本部门、本单位统计执法监督检查工作。</w:t>
            </w:r>
          </w:p>
          <w:p>
            <w:pPr>
              <w:widowControl/>
              <w:shd w:val="clear" w:color="auto" w:fill="FFFFFF"/>
              <w:spacing w:line="240" w:lineRule="exact"/>
              <w:jc w:val="left"/>
              <w:rPr>
                <w:rFonts w:ascii="仿宋" w:hAnsi="仿宋" w:eastAsia="仿宋" w:cs="仿宋"/>
                <w:color w:val="333333"/>
                <w:sz w:val="18"/>
                <w:szCs w:val="18"/>
              </w:rPr>
            </w:pPr>
            <w:r>
              <w:rPr>
                <w:rFonts w:hint="eastAsia" w:ascii="仿宋" w:hAnsi="仿宋" w:eastAsia="仿宋" w:cs="仿宋"/>
                <w:color w:val="333333"/>
                <w:sz w:val="18"/>
                <w:szCs w:val="18"/>
              </w:rPr>
              <w:t>3、法律、法规、规章和统计报表制度规定的其他事项。</w:t>
            </w:r>
          </w:p>
          <w:p>
            <w:pPr>
              <w:widowControl/>
              <w:wordWrap w:val="0"/>
              <w:spacing w:line="240" w:lineRule="exact"/>
              <w:jc w:val="left"/>
              <w:rPr>
                <w:rFonts w:ascii="仿宋_GB2312" w:hAnsi="仿宋_GB2312" w:eastAsia="仿宋_GB2312" w:cs="仿宋_GB2312"/>
                <w:sz w:val="18"/>
                <w:szCs w:val="18"/>
              </w:rPr>
            </w:pPr>
          </w:p>
        </w:tc>
        <w:tc>
          <w:tcPr>
            <w:tcW w:w="709" w:type="dxa"/>
            <w:vAlign w:val="center"/>
          </w:tcPr>
          <w:p>
            <w:pPr>
              <w:spacing w:line="56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市统计局</w:t>
            </w:r>
          </w:p>
        </w:tc>
        <w:tc>
          <w:tcPr>
            <w:tcW w:w="1100" w:type="dxa"/>
            <w:vAlign w:val="center"/>
          </w:tcPr>
          <w:p>
            <w:pPr>
              <w:spacing w:line="560" w:lineRule="exact"/>
              <w:rPr>
                <w:rFonts w:ascii="仿宋_GB2312" w:hAnsi="仿宋_GB2312" w:eastAsia="仿宋_GB2312" w:cs="仿宋_GB2312"/>
                <w:sz w:val="18"/>
                <w:szCs w:val="18"/>
              </w:rPr>
            </w:pPr>
            <w:r>
              <w:rPr>
                <w:rFonts w:hint="eastAsia" w:eastAsia="仿宋_GB2312"/>
                <w:sz w:val="18"/>
                <w:szCs w:val="18"/>
              </w:rPr>
              <w:t>有报送统计资料义务的统计调查对象。</w:t>
            </w:r>
          </w:p>
        </w:tc>
        <w:tc>
          <w:tcPr>
            <w:tcW w:w="567" w:type="dxa"/>
            <w:vAlign w:val="center"/>
          </w:tcPr>
          <w:p>
            <w:pPr>
              <w:spacing w:line="560" w:lineRule="exact"/>
              <w:rPr>
                <w:rFonts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1‰-10‰</w:t>
            </w:r>
          </w:p>
        </w:tc>
        <w:tc>
          <w:tcPr>
            <w:tcW w:w="425" w:type="dxa"/>
            <w:vAlign w:val="center"/>
          </w:tcPr>
          <w:p>
            <w:pPr>
              <w:spacing w:line="56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12次/年</w:t>
            </w:r>
          </w:p>
        </w:tc>
        <w:tc>
          <w:tcPr>
            <w:tcW w:w="567" w:type="dxa"/>
            <w:vAlign w:val="center"/>
          </w:tcPr>
          <w:p>
            <w:pPr>
              <w:spacing w:line="56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重点</w:t>
            </w:r>
          </w:p>
        </w:tc>
        <w:tc>
          <w:tcPr>
            <w:tcW w:w="3827" w:type="dxa"/>
            <w:vAlign w:val="center"/>
          </w:tcPr>
          <w:p>
            <w:pPr>
              <w:widowControl/>
              <w:wordWrap w:val="0"/>
              <w:spacing w:line="240" w:lineRule="exact"/>
              <w:jc w:val="left"/>
              <w:rPr>
                <w:rFonts w:ascii="仿宋" w:hAnsi="仿宋" w:eastAsia="仿宋" w:cs="仿宋"/>
                <w:sz w:val="18"/>
                <w:szCs w:val="18"/>
              </w:rPr>
            </w:pPr>
            <w:r>
              <w:rPr>
                <w:rFonts w:hint="eastAsia" w:ascii="仿宋" w:hAnsi="仿宋" w:eastAsia="仿宋" w:cs="仿宋"/>
                <w:color w:val="333333"/>
                <w:kern w:val="0"/>
                <w:sz w:val="18"/>
                <w:szCs w:val="18"/>
              </w:rPr>
              <w:t>1、是否存在违反法定程序和统计制度修改统计数据的行为；</w:t>
            </w:r>
          </w:p>
          <w:p>
            <w:pPr>
              <w:widowControl/>
              <w:wordWrap w:val="0"/>
              <w:spacing w:line="240" w:lineRule="exact"/>
              <w:jc w:val="left"/>
              <w:rPr>
                <w:rFonts w:ascii="仿宋" w:hAnsi="仿宋" w:eastAsia="仿宋" w:cs="仿宋"/>
                <w:sz w:val="18"/>
                <w:szCs w:val="18"/>
              </w:rPr>
            </w:pPr>
            <w:r>
              <w:rPr>
                <w:rFonts w:hint="eastAsia" w:ascii="仿宋" w:hAnsi="仿宋" w:eastAsia="仿宋" w:cs="仿宋"/>
                <w:color w:val="333333"/>
                <w:kern w:val="0"/>
                <w:sz w:val="18"/>
                <w:szCs w:val="18"/>
              </w:rPr>
              <w:t>2、是否存在虚报、瞒报、伪造、篡改、拒报和迟报统计资料的行为；</w:t>
            </w:r>
          </w:p>
          <w:p>
            <w:pPr>
              <w:widowControl/>
              <w:wordWrap w:val="0"/>
              <w:spacing w:line="240" w:lineRule="exact"/>
              <w:jc w:val="left"/>
              <w:rPr>
                <w:rFonts w:ascii="仿宋" w:hAnsi="仿宋" w:eastAsia="仿宋" w:cs="仿宋"/>
                <w:sz w:val="18"/>
                <w:szCs w:val="18"/>
              </w:rPr>
            </w:pPr>
            <w:r>
              <w:rPr>
                <w:rFonts w:hint="eastAsia" w:ascii="仿宋" w:hAnsi="仿宋" w:eastAsia="仿宋" w:cs="仿宋"/>
                <w:color w:val="333333"/>
                <w:kern w:val="0"/>
                <w:sz w:val="18"/>
                <w:szCs w:val="18"/>
              </w:rPr>
              <w:t>3、法律、法规、规章和统计报表制度规定的其他事项。</w:t>
            </w:r>
          </w:p>
          <w:p>
            <w:pPr>
              <w:spacing w:line="560" w:lineRule="exact"/>
              <w:rPr>
                <w:rFonts w:ascii="仿宋_GB2312" w:hAnsi="仿宋_GB2312" w:eastAsia="仿宋_GB2312" w:cs="仿宋_GB2312"/>
                <w:sz w:val="18"/>
                <w:szCs w:val="18"/>
              </w:rPr>
            </w:pPr>
          </w:p>
        </w:tc>
        <w:tc>
          <w:tcPr>
            <w:tcW w:w="419" w:type="dxa"/>
            <w:vAlign w:val="center"/>
          </w:tcPr>
          <w:p>
            <w:pPr>
              <w:spacing w:line="560" w:lineRule="exact"/>
              <w:jc w:val="center"/>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5" w:hRule="atLeast"/>
          <w:jc w:val="center"/>
        </w:trPr>
        <w:tc>
          <w:tcPr>
            <w:tcW w:w="546" w:type="dxa"/>
            <w:vAlign w:val="center"/>
          </w:tcPr>
          <w:p>
            <w:pPr>
              <w:spacing w:line="56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3</w:t>
            </w:r>
          </w:p>
        </w:tc>
        <w:tc>
          <w:tcPr>
            <w:tcW w:w="615" w:type="dxa"/>
            <w:vAlign w:val="center"/>
          </w:tcPr>
          <w:p>
            <w:pPr>
              <w:spacing w:line="560" w:lineRule="exact"/>
              <w:jc w:val="center"/>
              <w:rPr>
                <w:rFonts w:ascii="仿宋_GB2312" w:hAnsi="仿宋_GB2312" w:eastAsia="仿宋_GB2312" w:cs="仿宋_GB2312"/>
                <w:sz w:val="18"/>
                <w:szCs w:val="18"/>
              </w:rPr>
            </w:pPr>
          </w:p>
        </w:tc>
        <w:tc>
          <w:tcPr>
            <w:tcW w:w="3944" w:type="dxa"/>
            <w:vAlign w:val="center"/>
          </w:tcPr>
          <w:p>
            <w:pPr>
              <w:spacing w:line="560" w:lineRule="exact"/>
              <w:rPr>
                <w:rFonts w:ascii="仿宋_GB2312" w:hAnsi="仿宋_GB2312" w:eastAsia="仿宋_GB2312" w:cs="仿宋_GB2312"/>
                <w:sz w:val="18"/>
                <w:szCs w:val="18"/>
              </w:rPr>
            </w:pPr>
          </w:p>
        </w:tc>
        <w:tc>
          <w:tcPr>
            <w:tcW w:w="709" w:type="dxa"/>
            <w:vAlign w:val="center"/>
          </w:tcPr>
          <w:p>
            <w:pPr>
              <w:spacing w:line="560" w:lineRule="exact"/>
              <w:rPr>
                <w:rFonts w:ascii="仿宋_GB2312" w:hAnsi="仿宋_GB2312" w:eastAsia="仿宋_GB2312" w:cs="仿宋_GB2312"/>
                <w:sz w:val="18"/>
                <w:szCs w:val="18"/>
              </w:rPr>
            </w:pPr>
          </w:p>
        </w:tc>
        <w:tc>
          <w:tcPr>
            <w:tcW w:w="1100" w:type="dxa"/>
            <w:vAlign w:val="center"/>
          </w:tcPr>
          <w:p>
            <w:pPr>
              <w:spacing w:line="560" w:lineRule="exact"/>
              <w:rPr>
                <w:rFonts w:ascii="仿宋_GB2312" w:hAnsi="仿宋_GB2312" w:eastAsia="仿宋_GB2312" w:cs="仿宋_GB2312"/>
                <w:sz w:val="18"/>
                <w:szCs w:val="18"/>
              </w:rPr>
            </w:pPr>
          </w:p>
        </w:tc>
        <w:tc>
          <w:tcPr>
            <w:tcW w:w="567" w:type="dxa"/>
            <w:vAlign w:val="center"/>
          </w:tcPr>
          <w:p>
            <w:pPr>
              <w:spacing w:line="560" w:lineRule="exact"/>
              <w:rPr>
                <w:rFonts w:ascii="仿宋_GB2312" w:hAnsi="仿宋_GB2312" w:eastAsia="仿宋_GB2312" w:cs="仿宋_GB2312"/>
                <w:sz w:val="18"/>
                <w:szCs w:val="18"/>
              </w:rPr>
            </w:pPr>
          </w:p>
        </w:tc>
        <w:tc>
          <w:tcPr>
            <w:tcW w:w="425" w:type="dxa"/>
            <w:vAlign w:val="center"/>
          </w:tcPr>
          <w:p>
            <w:pPr>
              <w:spacing w:line="560" w:lineRule="exact"/>
              <w:rPr>
                <w:rFonts w:ascii="仿宋_GB2312" w:hAnsi="仿宋_GB2312" w:eastAsia="仿宋_GB2312" w:cs="仿宋_GB2312"/>
                <w:sz w:val="18"/>
                <w:szCs w:val="18"/>
              </w:rPr>
            </w:pPr>
          </w:p>
        </w:tc>
        <w:tc>
          <w:tcPr>
            <w:tcW w:w="567" w:type="dxa"/>
            <w:vAlign w:val="center"/>
          </w:tcPr>
          <w:p>
            <w:pPr>
              <w:spacing w:line="560" w:lineRule="exact"/>
              <w:rPr>
                <w:rFonts w:ascii="仿宋_GB2312" w:hAnsi="仿宋_GB2312" w:eastAsia="仿宋_GB2312" w:cs="仿宋_GB2312"/>
                <w:sz w:val="18"/>
                <w:szCs w:val="18"/>
              </w:rPr>
            </w:pPr>
          </w:p>
        </w:tc>
        <w:tc>
          <w:tcPr>
            <w:tcW w:w="3827" w:type="dxa"/>
            <w:vAlign w:val="center"/>
          </w:tcPr>
          <w:p>
            <w:pPr>
              <w:spacing w:line="560" w:lineRule="exact"/>
              <w:rPr>
                <w:rFonts w:ascii="仿宋_GB2312" w:hAnsi="仿宋_GB2312" w:eastAsia="仿宋_GB2312" w:cs="仿宋_GB2312"/>
                <w:sz w:val="18"/>
                <w:szCs w:val="18"/>
              </w:rPr>
            </w:pPr>
          </w:p>
        </w:tc>
        <w:tc>
          <w:tcPr>
            <w:tcW w:w="419" w:type="dxa"/>
            <w:vAlign w:val="center"/>
          </w:tcPr>
          <w:p>
            <w:pPr>
              <w:spacing w:line="560" w:lineRule="exact"/>
              <w:jc w:val="center"/>
              <w:rPr>
                <w:rFonts w:ascii="仿宋_GB2312" w:hAnsi="仿宋_GB2312" w:eastAsia="仿宋_GB2312" w:cs="仿宋_GB2312"/>
                <w:sz w:val="18"/>
                <w:szCs w:val="18"/>
              </w:rPr>
            </w:pPr>
          </w:p>
        </w:tc>
      </w:tr>
    </w:tbl>
    <w:p>
      <w:pPr>
        <w:spacing w:line="360" w:lineRule="exact"/>
        <w:ind w:firstLine="361" w:firstLineChars="200"/>
        <w:rPr>
          <w:rFonts w:ascii="仿宋_GB2312" w:hAnsi="仿宋_GB2312" w:eastAsia="仿宋_GB2312" w:cs="仿宋_GB2312"/>
          <w:sz w:val="18"/>
          <w:szCs w:val="18"/>
        </w:rPr>
      </w:pPr>
      <w:r>
        <w:rPr>
          <w:rFonts w:hint="eastAsia" w:ascii="仿宋_GB2312" w:hAnsi="仿宋_GB2312" w:eastAsia="仿宋_GB2312" w:cs="仿宋_GB2312"/>
          <w:b/>
          <w:sz w:val="18"/>
          <w:szCs w:val="18"/>
        </w:rPr>
        <w:t>注：</w:t>
      </w:r>
      <w:r>
        <w:rPr>
          <w:rFonts w:hint="eastAsia" w:ascii="仿宋_GB2312" w:hAnsi="仿宋_GB2312" w:eastAsia="仿宋_GB2312" w:cs="仿宋_GB2312"/>
          <w:sz w:val="18"/>
          <w:szCs w:val="18"/>
        </w:rPr>
        <w:t>需列出法律法规规章规定的全部检查事项，不能只列出已采用“双随机一公开”方式开展随机抽查的事项。</w:t>
      </w:r>
    </w:p>
    <w:p>
      <w:pPr>
        <w:rPr>
          <w:rFonts w:ascii="Times New Roman" w:hAnsi="Times New Roman" w:cs="Times New Roman"/>
        </w:rPr>
      </w:pPr>
      <w:bookmarkStart w:id="0" w:name="_GoBack"/>
      <w:bookmarkEnd w:id="0"/>
    </w:p>
    <w:sectPr>
      <w:headerReference r:id="rId5" w:type="first"/>
      <w:footerReference r:id="rId8" w:type="first"/>
      <w:headerReference r:id="rId3" w:type="default"/>
      <w:footerReference r:id="rId6" w:type="default"/>
      <w:headerReference r:id="rId4" w:type="even"/>
      <w:footerReference r:id="rId7" w:type="even"/>
      <w:pgSz w:w="16838" w:h="11906" w:orient="landscape"/>
      <w:pgMar w:top="1800" w:right="1440" w:bottom="180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monospace">
    <w:altName w:val="Times New Roman"/>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创艺简标宋">
    <w:altName w:val="宋体"/>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 PAGE   \* MERGEFORMAT </w:instrText>
    </w:r>
    <w:r>
      <w:fldChar w:fldCharType="separate"/>
    </w:r>
    <w:r>
      <w:t>1</w:t>
    </w:r>
    <w:r>
      <w:rPr>
        <w:lang w:val="zh-CN"/>
      </w:rP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9D16CC"/>
    <w:multiLevelType w:val="singleLevel"/>
    <w:tmpl w:val="589D16CC"/>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drawingGridHorizontalSpacing w:val="105"/>
  <w:drawingGridVerticalSpacing w:val="159"/>
  <w:noPunctuationKerning w:val="1"/>
  <w:characterSpacingControl w:val="compressPunctuation"/>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A0B34"/>
    <w:rsid w:val="00082F1B"/>
    <w:rsid w:val="001E1C6C"/>
    <w:rsid w:val="002913B6"/>
    <w:rsid w:val="002B1C63"/>
    <w:rsid w:val="004823B8"/>
    <w:rsid w:val="004A432C"/>
    <w:rsid w:val="007C600F"/>
    <w:rsid w:val="00B83F5E"/>
    <w:rsid w:val="00BA0B34"/>
    <w:rsid w:val="00C866FB"/>
    <w:rsid w:val="00DF6FBF"/>
    <w:rsid w:val="067530A5"/>
    <w:rsid w:val="15B96E59"/>
    <w:rsid w:val="1A4843F6"/>
    <w:rsid w:val="30E406A2"/>
    <w:rsid w:val="470650F5"/>
    <w:rsid w:val="65846E64"/>
    <w:rsid w:val="737756E0"/>
    <w:rsid w:val="75F203ED"/>
    <w:rsid w:val="78173D14"/>
  </w:rsids>
  <m:mathPr>
    <m:mathFont m:val="Cambria Math"/>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qFormat="1" w:unhideWhenUsed="0" w:uiPriority="0"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0" w:semiHidden="0" w:name="Hyperlink"/>
    <w:lsdException w:qFormat="1" w:uiPriority="0" w:semiHidden="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iPriority="0" w:semiHidden="0" w:name="Normal (Web)"/>
    <w:lsdException w:uiPriority="0" w:name="HTML Acronym"/>
    <w:lsdException w:uiPriority="0" w:name="HTML Address"/>
    <w:lsdException w:qFormat="1" w:uiPriority="0" w:semiHidden="0" w:name="HTML Cite"/>
    <w:lsdException w:qFormat="1" w:uiPriority="0" w:semiHidden="0" w:name="HTML Code"/>
    <w:lsdException w:qFormat="1" w:uiPriority="0" w:semiHidden="0" w:name="HTML Definition"/>
    <w:lsdException w:qFormat="1" w:uiPriority="0" w:semiHidden="0" w:name="HTML Keyboard"/>
    <w:lsdException w:uiPriority="0" w:name="HTML Preformatted"/>
    <w:lsdException w:qFormat="1" w:uiPriority="0" w:semiHidden="0" w:name="HTML Sample"/>
    <w:lsdException w:uiPriority="0" w:name="HTML Typewriter"/>
    <w:lsdException w:qFormat="1" w:uiPriority="0" w:semiHidden="0" w:name="HTML Variable"/>
    <w:lsdException w:qFormat="1" w:uiPriority="99" w:semiHidden="0"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7">
    <w:name w:val="Default Paragraph Font"/>
    <w:unhideWhenUsed/>
    <w:uiPriority w:val="1"/>
  </w:style>
  <w:style w:type="table" w:default="1" w:styleId="18">
    <w:name w:val="Normal Table"/>
    <w:unhideWhenUsed/>
    <w:qFormat/>
    <w:uiPriority w:val="99"/>
    <w:tblPr>
      <w:tblLayout w:type="fixed"/>
      <w:tblCellMar>
        <w:top w:w="0" w:type="dxa"/>
        <w:left w:w="108" w:type="dxa"/>
        <w:bottom w:w="0" w:type="dxa"/>
        <w:right w:w="108" w:type="dxa"/>
      </w:tblCellMar>
    </w:tblPr>
  </w:style>
  <w:style w:type="paragraph" w:styleId="2">
    <w:name w:val="Date"/>
    <w:basedOn w:val="1"/>
    <w:next w:val="1"/>
    <w:link w:val="21"/>
    <w:qFormat/>
    <w:uiPriority w:val="0"/>
    <w:pPr>
      <w:adjustRightInd w:val="0"/>
      <w:spacing w:line="567" w:lineRule="atLeast"/>
      <w:ind w:firstLine="4253"/>
      <w:jc w:val="left"/>
    </w:pPr>
    <w:rPr>
      <w:rFonts w:ascii="Times New Roman" w:hAnsi="Times New Roman" w:eastAsia="仿宋_GB2312" w:cs="Times New Roman"/>
      <w:kern w:val="0"/>
      <w:sz w:val="32"/>
      <w:szCs w:val="20"/>
    </w:rPr>
  </w:style>
  <w:style w:type="paragraph" w:styleId="3">
    <w:name w:val="Balloon Text"/>
    <w:basedOn w:val="1"/>
    <w:link w:val="22"/>
    <w:unhideWhenUsed/>
    <w:qFormat/>
    <w:uiPriority w:val="99"/>
    <w:rPr>
      <w:sz w:val="18"/>
      <w:szCs w:val="18"/>
    </w:rPr>
  </w:style>
  <w:style w:type="paragraph" w:styleId="4">
    <w:name w:val="footer"/>
    <w:basedOn w:val="1"/>
    <w:link w:val="20"/>
    <w:unhideWhenUsed/>
    <w:qFormat/>
    <w:uiPriority w:val="99"/>
    <w:pPr>
      <w:tabs>
        <w:tab w:val="center" w:pos="4153"/>
        <w:tab w:val="right" w:pos="8306"/>
      </w:tabs>
      <w:snapToGrid w:val="0"/>
      <w:jc w:val="left"/>
    </w:pPr>
    <w:rPr>
      <w:sz w:val="18"/>
      <w:szCs w:val="18"/>
    </w:rPr>
  </w:style>
  <w:style w:type="paragraph" w:styleId="5">
    <w:name w:val="header"/>
    <w:basedOn w:val="1"/>
    <w:link w:val="19"/>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0"/>
    <w:pPr>
      <w:jc w:val="left"/>
    </w:pPr>
    <w:rPr>
      <w:rFonts w:cs="Times New Roman"/>
      <w:kern w:val="0"/>
      <w:sz w:val="24"/>
    </w:rPr>
  </w:style>
  <w:style w:type="character" w:styleId="8">
    <w:name w:val="Strong"/>
    <w:basedOn w:val="7"/>
    <w:qFormat/>
    <w:uiPriority w:val="22"/>
    <w:rPr>
      <w:b/>
    </w:rPr>
  </w:style>
  <w:style w:type="character" w:styleId="9">
    <w:name w:val="FollowedHyperlink"/>
    <w:basedOn w:val="7"/>
    <w:unhideWhenUsed/>
    <w:qFormat/>
    <w:uiPriority w:val="0"/>
    <w:rPr>
      <w:color w:val="000000"/>
      <w:u w:val="none"/>
    </w:rPr>
  </w:style>
  <w:style w:type="character" w:styleId="10">
    <w:name w:val="Emphasis"/>
    <w:basedOn w:val="7"/>
    <w:qFormat/>
    <w:uiPriority w:val="20"/>
  </w:style>
  <w:style w:type="character" w:styleId="11">
    <w:name w:val="HTML Definition"/>
    <w:basedOn w:val="7"/>
    <w:unhideWhenUsed/>
    <w:qFormat/>
    <w:uiPriority w:val="0"/>
  </w:style>
  <w:style w:type="character" w:styleId="12">
    <w:name w:val="HTML Variable"/>
    <w:basedOn w:val="7"/>
    <w:unhideWhenUsed/>
    <w:qFormat/>
    <w:uiPriority w:val="0"/>
  </w:style>
  <w:style w:type="character" w:styleId="13">
    <w:name w:val="Hyperlink"/>
    <w:basedOn w:val="7"/>
    <w:unhideWhenUsed/>
    <w:qFormat/>
    <w:uiPriority w:val="0"/>
    <w:rPr>
      <w:color w:val="000000"/>
      <w:u w:val="none"/>
    </w:rPr>
  </w:style>
  <w:style w:type="character" w:styleId="14">
    <w:name w:val="HTML Code"/>
    <w:basedOn w:val="7"/>
    <w:unhideWhenUsed/>
    <w:qFormat/>
    <w:uiPriority w:val="0"/>
    <w:rPr>
      <w:rFonts w:ascii="monospace" w:hAnsi="monospace" w:eastAsia="monospace" w:cs="monospace"/>
      <w:sz w:val="21"/>
      <w:szCs w:val="21"/>
    </w:rPr>
  </w:style>
  <w:style w:type="character" w:styleId="15">
    <w:name w:val="HTML Cite"/>
    <w:basedOn w:val="7"/>
    <w:unhideWhenUsed/>
    <w:qFormat/>
    <w:uiPriority w:val="0"/>
  </w:style>
  <w:style w:type="character" w:styleId="16">
    <w:name w:val="HTML Keyboard"/>
    <w:basedOn w:val="7"/>
    <w:unhideWhenUsed/>
    <w:qFormat/>
    <w:uiPriority w:val="0"/>
    <w:rPr>
      <w:rFonts w:hint="default" w:ascii="monospace" w:hAnsi="monospace" w:eastAsia="monospace" w:cs="monospace"/>
      <w:sz w:val="21"/>
      <w:szCs w:val="21"/>
    </w:rPr>
  </w:style>
  <w:style w:type="character" w:styleId="17">
    <w:name w:val="HTML Sample"/>
    <w:basedOn w:val="7"/>
    <w:unhideWhenUsed/>
    <w:qFormat/>
    <w:uiPriority w:val="0"/>
    <w:rPr>
      <w:rFonts w:hint="default" w:ascii="monospace" w:hAnsi="monospace" w:eastAsia="monospace" w:cs="monospace"/>
      <w:sz w:val="21"/>
      <w:szCs w:val="21"/>
    </w:rPr>
  </w:style>
  <w:style w:type="character" w:customStyle="1" w:styleId="19">
    <w:name w:val="页眉 Char"/>
    <w:basedOn w:val="7"/>
    <w:link w:val="5"/>
    <w:qFormat/>
    <w:uiPriority w:val="99"/>
    <w:rPr>
      <w:sz w:val="18"/>
      <w:szCs w:val="18"/>
    </w:rPr>
  </w:style>
  <w:style w:type="character" w:customStyle="1" w:styleId="20">
    <w:name w:val="页脚 Char"/>
    <w:basedOn w:val="7"/>
    <w:link w:val="4"/>
    <w:qFormat/>
    <w:uiPriority w:val="99"/>
    <w:rPr>
      <w:sz w:val="18"/>
      <w:szCs w:val="18"/>
    </w:rPr>
  </w:style>
  <w:style w:type="character" w:customStyle="1" w:styleId="21">
    <w:name w:val="日期 Char"/>
    <w:basedOn w:val="7"/>
    <w:link w:val="2"/>
    <w:qFormat/>
    <w:uiPriority w:val="0"/>
    <w:rPr>
      <w:rFonts w:ascii="Times New Roman" w:hAnsi="Times New Roman" w:eastAsia="仿宋_GB2312" w:cs="Times New Roman"/>
      <w:kern w:val="0"/>
      <w:sz w:val="32"/>
      <w:szCs w:val="20"/>
    </w:rPr>
  </w:style>
  <w:style w:type="character" w:customStyle="1" w:styleId="22">
    <w:name w:val="批注框文本 Char"/>
    <w:basedOn w:val="7"/>
    <w:link w:val="3"/>
    <w:qFormat/>
    <w:uiPriority w:val="99"/>
    <w:rPr>
      <w:sz w:val="18"/>
      <w:szCs w:val="18"/>
    </w:rPr>
  </w:style>
  <w:style w:type="character" w:customStyle="1" w:styleId="23">
    <w:name w:val="fontstrikethrough"/>
    <w:basedOn w:val="7"/>
    <w:qFormat/>
    <w:uiPriority w:val="0"/>
    <w:rPr>
      <w:strike/>
    </w:rPr>
  </w:style>
  <w:style w:type="character" w:customStyle="1" w:styleId="24">
    <w:name w:val="fontborder"/>
    <w:basedOn w:val="7"/>
    <w:qFormat/>
    <w:uiPriority w:val="0"/>
    <w:rPr>
      <w:bdr w:val="single" w:color="000000" w:sz="6" w:space="0"/>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3</Pages>
  <Words>276</Words>
  <Characters>1578</Characters>
  <Lines>13</Lines>
  <Paragraphs>3</Paragraphs>
  <ScaleCrop>false</ScaleCrop>
  <LinksUpToDate>false</LinksUpToDate>
  <CharactersWithSpaces>1851</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2016-11-21T01:28:00Z</dcterms:created>
  <dc:creator>lenovo</dc:creator>
  <cp:lastModifiedBy>Administrator</cp:lastModifiedBy>
  <cp:lastPrinted>2017-02-10T02:48:00Z</cp:lastPrinted>
  <dcterms:modified xsi:type="dcterms:W3CDTF">2017-08-31T08:11:00Z</dcterms:modified>
  <dc:title>郑州市人民政府办公厅</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